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7694"/>
        <w:gridCol w:w="3847"/>
        <w:gridCol w:w="3847"/>
      </w:tblGrid>
      <w:tr w:rsidR="00823F3C" w:rsidTr="003D426B">
        <w:tc>
          <w:tcPr>
            <w:tcW w:w="11541" w:type="dxa"/>
            <w:gridSpan w:val="2"/>
          </w:tcPr>
          <w:p w:rsidR="00823F3C" w:rsidRDefault="001300E2">
            <w:pPr>
              <w:rPr>
                <w:rFonts w:ascii="Arial" w:hAnsi="Arial" w:cs="Arial"/>
                <w:b/>
                <w:color w:val="7030A0"/>
                <w:sz w:val="96"/>
              </w:rPr>
            </w:pPr>
            <w:bookmarkStart w:id="0" w:name="_GoBack"/>
            <w:bookmarkEnd w:id="0"/>
            <w:r>
              <w:rPr>
                <w:rFonts w:ascii="Arial" w:hAnsi="Arial" w:cs="Arial"/>
                <w:b/>
                <w:color w:val="7030A0"/>
                <w:sz w:val="96"/>
              </w:rPr>
              <w:t>Foreign Languages</w:t>
            </w:r>
            <w:r w:rsidR="00823F3C" w:rsidRPr="00823F3C">
              <w:rPr>
                <w:rFonts w:ascii="Arial" w:hAnsi="Arial" w:cs="Arial"/>
                <w:b/>
                <w:color w:val="7030A0"/>
                <w:sz w:val="96"/>
              </w:rPr>
              <w:t xml:space="preserve"> Curriculum </w:t>
            </w:r>
            <w:r w:rsidR="00823F3C">
              <w:rPr>
                <w:rFonts w:ascii="Arial" w:hAnsi="Arial" w:cs="Arial"/>
                <w:b/>
                <w:color w:val="7030A0"/>
                <w:sz w:val="96"/>
              </w:rPr>
              <w:t>I</w:t>
            </w:r>
            <w:r w:rsidR="00823F3C" w:rsidRPr="00823F3C">
              <w:rPr>
                <w:rFonts w:ascii="Arial" w:hAnsi="Arial" w:cs="Arial"/>
                <w:b/>
                <w:color w:val="7030A0"/>
                <w:sz w:val="96"/>
              </w:rPr>
              <w:t xml:space="preserve">mpact </w:t>
            </w:r>
            <w:r w:rsidR="00823F3C">
              <w:rPr>
                <w:rFonts w:ascii="Arial" w:hAnsi="Arial" w:cs="Arial"/>
                <w:b/>
                <w:color w:val="7030A0"/>
                <w:sz w:val="96"/>
              </w:rPr>
              <w:t>S</w:t>
            </w:r>
            <w:r w:rsidR="00823F3C" w:rsidRPr="00823F3C">
              <w:rPr>
                <w:rFonts w:ascii="Arial" w:hAnsi="Arial" w:cs="Arial"/>
                <w:b/>
                <w:color w:val="7030A0"/>
                <w:sz w:val="96"/>
              </w:rPr>
              <w:t xml:space="preserve">tatement </w:t>
            </w:r>
            <w:r>
              <w:rPr>
                <w:rFonts w:ascii="Arial" w:hAnsi="Arial" w:cs="Arial"/>
                <w:b/>
                <w:color w:val="7030A0"/>
                <w:sz w:val="96"/>
              </w:rPr>
              <w:t>2</w:t>
            </w:r>
            <w:r w:rsidR="009C4513">
              <w:rPr>
                <w:rFonts w:ascii="Arial" w:hAnsi="Arial" w:cs="Arial"/>
                <w:b/>
                <w:color w:val="7030A0"/>
                <w:sz w:val="96"/>
              </w:rPr>
              <w:t>4/25</w:t>
            </w:r>
          </w:p>
          <w:p w:rsidR="00823F3C" w:rsidRPr="00823F3C" w:rsidRDefault="00823F3C">
            <w:pPr>
              <w:rPr>
                <w:rFonts w:ascii="Arial" w:hAnsi="Arial" w:cs="Arial"/>
                <w:b/>
              </w:rPr>
            </w:pPr>
          </w:p>
        </w:tc>
        <w:tc>
          <w:tcPr>
            <w:tcW w:w="3847" w:type="dxa"/>
          </w:tcPr>
          <w:p w:rsidR="00823F3C" w:rsidRDefault="00823F3C" w:rsidP="00823F3C">
            <w:pPr>
              <w:jc w:val="center"/>
            </w:pPr>
            <w:r>
              <w:rPr>
                <w:noProof/>
                <w:lang w:eastAsia="en-GB"/>
              </w:rPr>
              <w:drawing>
                <wp:inline distT="0" distB="0" distL="0" distR="0" wp14:anchorId="2F46726C" wp14:editId="3CA06690">
                  <wp:extent cx="1124263"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hi-res-Edgworth-Primary PURPLE PANTONE 2105C-0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7047" cy="1377563"/>
                          </a:xfrm>
                          <a:prstGeom prst="rect">
                            <a:avLst/>
                          </a:prstGeom>
                        </pic:spPr>
                      </pic:pic>
                    </a:graphicData>
                  </a:graphic>
                </wp:inline>
              </w:drawing>
            </w:r>
          </w:p>
        </w:tc>
      </w:tr>
      <w:tr w:rsidR="001C2232" w:rsidRPr="007C769B" w:rsidTr="00447EED">
        <w:trPr>
          <w:trHeight w:val="2570"/>
        </w:trPr>
        <w:tc>
          <w:tcPr>
            <w:tcW w:w="7694" w:type="dxa"/>
            <w:vMerge w:val="restart"/>
          </w:tcPr>
          <w:p w:rsidR="001C2232" w:rsidRPr="001C2232" w:rsidRDefault="001C2232">
            <w:pPr>
              <w:rPr>
                <w:rFonts w:ascii="Arial" w:hAnsi="Arial" w:cs="Arial"/>
                <w:b/>
              </w:rPr>
            </w:pPr>
            <w:r w:rsidRPr="001C2232">
              <w:rPr>
                <w:rFonts w:ascii="Arial" w:hAnsi="Arial" w:cs="Arial"/>
                <w:b/>
              </w:rPr>
              <w:t>Overall synopsis / developments:</w:t>
            </w:r>
          </w:p>
          <w:p w:rsidR="00A05294" w:rsidRPr="00A05294" w:rsidRDefault="00A05294" w:rsidP="00A05294">
            <w:pPr>
              <w:pStyle w:val="NormalWeb"/>
              <w:rPr>
                <w:rFonts w:ascii="Comic Sans MS" w:hAnsi="Comic Sans MS"/>
              </w:rPr>
            </w:pPr>
            <w:r>
              <w:rPr>
                <w:rFonts w:ascii="Comic Sans MS" w:hAnsi="Comic Sans MS"/>
              </w:rPr>
              <w:t>T</w:t>
            </w:r>
            <w:r w:rsidRPr="00A05294">
              <w:rPr>
                <w:rFonts w:ascii="Comic Sans MS" w:hAnsi="Comic Sans MS"/>
              </w:rPr>
              <w:t>eachers have a clear understanding of their objectives and can monitor progress effectively through the assessment tools provided by Language Angels, as well as other supplementary resources. They follow long-term planning documents, known as the S Plan, which are aligned with our Impact Curriculum and clearly outline the progression of learning.</w:t>
            </w:r>
          </w:p>
          <w:p w:rsidR="00A05294" w:rsidRPr="00A05294" w:rsidRDefault="00A05294" w:rsidP="00A05294">
            <w:pPr>
              <w:pStyle w:val="NormalWeb"/>
              <w:rPr>
                <w:rFonts w:ascii="Comic Sans MS" w:hAnsi="Comic Sans MS"/>
              </w:rPr>
            </w:pPr>
            <w:r w:rsidRPr="00A05294">
              <w:rPr>
                <w:rFonts w:ascii="Comic Sans MS" w:hAnsi="Comic Sans MS"/>
              </w:rPr>
              <w:t>Unit planners are downloaded to ensure that the appropriate content is delivered to the correct classes at each stage of the academic year. These planning tools provide structured guidance on both the content and methodology of instruction, ensuring consistency across individual lessons, full units, and throughout each term.</w:t>
            </w:r>
          </w:p>
          <w:p w:rsidR="00A05294" w:rsidRPr="00A05294" w:rsidRDefault="00A05294" w:rsidP="00A05294">
            <w:pPr>
              <w:pStyle w:val="NormalWeb"/>
              <w:rPr>
                <w:rFonts w:ascii="Comic Sans MS" w:hAnsi="Comic Sans MS"/>
              </w:rPr>
            </w:pPr>
            <w:r w:rsidRPr="00A05294">
              <w:rPr>
                <w:rFonts w:ascii="Comic Sans MS" w:hAnsi="Comic Sans MS"/>
              </w:rPr>
              <w:t xml:space="preserve">This revised approach has been implemented to enhance subject coverage and improve overall curriculum delivery. A key development has been the significant reorganisation of the unit </w:t>
            </w:r>
            <w:r w:rsidRPr="00A05294">
              <w:rPr>
                <w:rFonts w:ascii="Comic Sans MS" w:hAnsi="Comic Sans MS"/>
              </w:rPr>
              <w:lastRenderedPageBreak/>
              <w:t>sequence, alongside a stronger emphasis on allocating sufficient time to the subject.</w:t>
            </w:r>
          </w:p>
          <w:p w:rsidR="001C2232" w:rsidRPr="001C2232" w:rsidRDefault="001C2232" w:rsidP="00A05294">
            <w:pPr>
              <w:rPr>
                <w:rFonts w:ascii="Arial" w:hAnsi="Arial" w:cs="Arial"/>
              </w:rPr>
            </w:pPr>
          </w:p>
        </w:tc>
        <w:tc>
          <w:tcPr>
            <w:tcW w:w="7694" w:type="dxa"/>
            <w:gridSpan w:val="2"/>
          </w:tcPr>
          <w:p w:rsidR="001C2232" w:rsidRPr="001C2232" w:rsidRDefault="001C2232">
            <w:pPr>
              <w:rPr>
                <w:rFonts w:ascii="Arial" w:hAnsi="Arial" w:cs="Arial"/>
              </w:rPr>
            </w:pPr>
          </w:p>
          <w:p w:rsidR="001C2232" w:rsidRPr="001C2232" w:rsidRDefault="001C2232">
            <w:pPr>
              <w:rPr>
                <w:rFonts w:ascii="Arial" w:hAnsi="Arial" w:cs="Arial"/>
                <w:b/>
              </w:rPr>
            </w:pPr>
          </w:p>
          <w:p w:rsidR="001C2232" w:rsidRPr="001C2232" w:rsidRDefault="001C2232" w:rsidP="00823F3C">
            <w:pPr>
              <w:rPr>
                <w:rFonts w:ascii="Arial" w:hAnsi="Arial" w:cs="Arial"/>
                <w:b/>
              </w:rPr>
            </w:pPr>
            <w:r w:rsidRPr="001C2232">
              <w:rPr>
                <w:rFonts w:ascii="Arial" w:hAnsi="Arial" w:cs="Arial"/>
                <w:b/>
              </w:rPr>
              <w:t xml:space="preserve">Data overview for </w:t>
            </w:r>
            <w:r>
              <w:rPr>
                <w:rFonts w:ascii="Arial" w:hAnsi="Arial" w:cs="Arial"/>
                <w:b/>
              </w:rPr>
              <w:t>Spanish</w:t>
            </w:r>
          </w:p>
          <w:p w:rsidR="001C2232" w:rsidRPr="001C2232" w:rsidRDefault="001C2232" w:rsidP="00823F3C">
            <w:pPr>
              <w:rPr>
                <w:rFonts w:ascii="Arial" w:hAnsi="Arial" w:cs="Arial"/>
              </w:rPr>
            </w:pPr>
          </w:p>
          <w:p w:rsidR="001C2232" w:rsidRPr="001C2232" w:rsidRDefault="001C2232" w:rsidP="00823F3C">
            <w:pPr>
              <w:rPr>
                <w:rFonts w:ascii="Arial" w:hAnsi="Arial" w:cs="Arial"/>
              </w:rPr>
            </w:pPr>
            <w:r w:rsidRPr="001C2232">
              <w:rPr>
                <w:rFonts w:ascii="Arial" w:hAnsi="Arial" w:cs="Arial"/>
              </w:rPr>
              <w:t>Percentage of children at the Expected Standard or better (age appropriate)</w:t>
            </w:r>
          </w:p>
          <w:tbl>
            <w:tblPr>
              <w:tblStyle w:val="TableGrid"/>
              <w:tblW w:w="0" w:type="auto"/>
              <w:tblLook w:val="04A0" w:firstRow="1" w:lastRow="0" w:firstColumn="1" w:lastColumn="0" w:noHBand="0" w:noVBand="1"/>
            </w:tblPr>
            <w:tblGrid>
              <w:gridCol w:w="1867"/>
            </w:tblGrid>
            <w:tr w:rsidR="001C2232" w:rsidRPr="001C2232" w:rsidTr="00E709AE">
              <w:tc>
                <w:tcPr>
                  <w:tcW w:w="1867" w:type="dxa"/>
                </w:tcPr>
                <w:p w:rsidR="001C2232" w:rsidRPr="001C2232" w:rsidRDefault="001C2232" w:rsidP="00823F3C">
                  <w:pPr>
                    <w:rPr>
                      <w:rFonts w:ascii="Arial" w:hAnsi="Arial" w:cs="Arial"/>
                    </w:rPr>
                  </w:pPr>
                  <w:r w:rsidRPr="001C2232">
                    <w:rPr>
                      <w:rFonts w:ascii="Arial" w:hAnsi="Arial" w:cs="Arial"/>
                    </w:rPr>
                    <w:t>Key Stage 2</w:t>
                  </w:r>
                </w:p>
              </w:tc>
            </w:tr>
            <w:tr w:rsidR="001C2232" w:rsidRPr="001C2232" w:rsidTr="00E709AE">
              <w:tc>
                <w:tcPr>
                  <w:tcW w:w="1867" w:type="dxa"/>
                </w:tcPr>
                <w:p w:rsidR="001C2232" w:rsidRPr="001C2232" w:rsidRDefault="00D064C8" w:rsidP="00823F3C">
                  <w:pPr>
                    <w:rPr>
                      <w:rFonts w:ascii="Arial" w:hAnsi="Arial" w:cs="Arial"/>
                    </w:rPr>
                  </w:pPr>
                  <w:r>
                    <w:rPr>
                      <w:rFonts w:ascii="Arial" w:hAnsi="Arial" w:cs="Arial"/>
                    </w:rPr>
                    <w:t>84.9%</w:t>
                  </w:r>
                </w:p>
              </w:tc>
            </w:tr>
          </w:tbl>
          <w:p w:rsidR="001C2232" w:rsidRPr="001C2232" w:rsidRDefault="001C2232" w:rsidP="00823F3C">
            <w:pPr>
              <w:rPr>
                <w:rFonts w:ascii="Arial" w:hAnsi="Arial" w:cs="Arial"/>
              </w:rPr>
            </w:pPr>
          </w:p>
          <w:p w:rsidR="001C2232" w:rsidRPr="001C2232" w:rsidRDefault="001C2232" w:rsidP="001300E2">
            <w:pPr>
              <w:rPr>
                <w:rFonts w:ascii="Arial" w:hAnsi="Arial" w:cs="Arial"/>
                <w:b/>
              </w:rPr>
            </w:pPr>
          </w:p>
        </w:tc>
      </w:tr>
      <w:tr w:rsidR="003C4CF0" w:rsidRPr="00823F3C" w:rsidTr="003C4CF0">
        <w:trPr>
          <w:trHeight w:val="561"/>
        </w:trPr>
        <w:tc>
          <w:tcPr>
            <w:tcW w:w="7694" w:type="dxa"/>
            <w:vMerge/>
          </w:tcPr>
          <w:p w:rsidR="003C4CF0" w:rsidRPr="001C2232" w:rsidRDefault="003C4CF0">
            <w:pPr>
              <w:rPr>
                <w:rFonts w:ascii="Arial" w:hAnsi="Arial" w:cs="Arial"/>
              </w:rPr>
            </w:pPr>
          </w:p>
        </w:tc>
        <w:tc>
          <w:tcPr>
            <w:tcW w:w="7694" w:type="dxa"/>
            <w:gridSpan w:val="2"/>
            <w:vMerge w:val="restart"/>
          </w:tcPr>
          <w:p w:rsidR="003C4CF0" w:rsidRPr="001C2232" w:rsidRDefault="003C4CF0" w:rsidP="003C4CF0">
            <w:pPr>
              <w:rPr>
                <w:rFonts w:ascii="Arial" w:hAnsi="Arial" w:cs="Arial"/>
                <w:b/>
              </w:rPr>
            </w:pPr>
            <w:r w:rsidRPr="001C2232">
              <w:rPr>
                <w:rFonts w:ascii="Arial" w:hAnsi="Arial" w:cs="Arial"/>
                <w:b/>
              </w:rPr>
              <w:t>Highlights / Life in all its fullness:</w:t>
            </w:r>
          </w:p>
          <w:p w:rsidR="009C4513" w:rsidRPr="009C4513" w:rsidRDefault="009C4513" w:rsidP="009C4513">
            <w:pPr>
              <w:pStyle w:val="NormalWeb"/>
              <w:spacing w:before="0" w:beforeAutospacing="0" w:after="0" w:afterAutospacing="0"/>
              <w:rPr>
                <w:rFonts w:ascii="Comic Sans MS" w:hAnsi="Comic Sans MS"/>
              </w:rPr>
            </w:pPr>
            <w:r w:rsidRPr="009C4513">
              <w:rPr>
                <w:rFonts w:ascii="Comic Sans MS" w:hAnsi="Comic Sans MS"/>
              </w:rPr>
              <w:t xml:space="preserve">  Pupils are highly engaged during Spanish lessons and enjoy the interactive, game-based and spoken elements of learning a new language.</w:t>
            </w:r>
          </w:p>
          <w:p w:rsidR="009C4513" w:rsidRDefault="009C4513" w:rsidP="009C4513">
            <w:pPr>
              <w:pStyle w:val="NormalWeb"/>
              <w:spacing w:before="0" w:beforeAutospacing="0" w:after="0" w:afterAutospacing="0"/>
              <w:rPr>
                <w:rFonts w:ascii="Comic Sans MS" w:hAnsi="Comic Sans MS"/>
              </w:rPr>
            </w:pPr>
            <w:r w:rsidRPr="009C4513">
              <w:rPr>
                <w:rFonts w:ascii="Comic Sans MS" w:hAnsi="Comic Sans MS"/>
              </w:rPr>
              <w:t xml:space="preserve"> Cultural aspects of Spanish-speaking countries are embedded into teaching, enriching pupils’ global understanding.</w:t>
            </w:r>
          </w:p>
          <w:p w:rsidR="009C4513" w:rsidRPr="009C4513" w:rsidRDefault="009C4513" w:rsidP="009C4513">
            <w:pPr>
              <w:pStyle w:val="NormalWeb"/>
              <w:rPr>
                <w:rFonts w:ascii="Comic Sans MS" w:hAnsi="Comic Sans MS"/>
              </w:rPr>
            </w:pPr>
            <w:r w:rsidRPr="009C4513">
              <w:rPr>
                <w:rFonts w:ascii="Comic Sans MS" w:hAnsi="Comic Sans MS"/>
              </w:rPr>
              <w:t xml:space="preserve"> Pupil voice feedback reflects a positive attitude toward language learning and curiosity about other cultures.</w:t>
            </w:r>
          </w:p>
          <w:p w:rsidR="001300E2" w:rsidRPr="001C2232" w:rsidRDefault="001300E2" w:rsidP="001300E2">
            <w:pPr>
              <w:rPr>
                <w:rFonts w:ascii="Arial" w:hAnsi="Arial" w:cs="Arial"/>
              </w:rPr>
            </w:pPr>
          </w:p>
        </w:tc>
      </w:tr>
      <w:tr w:rsidR="003C4CF0" w:rsidRPr="007C769B" w:rsidTr="003C4CF0">
        <w:trPr>
          <w:trHeight w:val="1001"/>
        </w:trPr>
        <w:tc>
          <w:tcPr>
            <w:tcW w:w="7694" w:type="dxa"/>
            <w:vMerge w:val="restart"/>
          </w:tcPr>
          <w:p w:rsidR="003C4CF0" w:rsidRPr="001C2232" w:rsidRDefault="003C4CF0">
            <w:pPr>
              <w:rPr>
                <w:rFonts w:ascii="Arial" w:hAnsi="Arial" w:cs="Arial"/>
                <w:b/>
              </w:rPr>
            </w:pPr>
            <w:r w:rsidRPr="001C2232">
              <w:rPr>
                <w:rFonts w:ascii="Arial" w:hAnsi="Arial" w:cs="Arial"/>
                <w:b/>
              </w:rPr>
              <w:t>Subject leadership - CPD, Monitoring and books:</w:t>
            </w:r>
          </w:p>
          <w:p w:rsidR="00A05294" w:rsidRPr="00A05294" w:rsidRDefault="00A05294" w:rsidP="00A05294">
            <w:pPr>
              <w:pStyle w:val="NormalWeb"/>
              <w:rPr>
                <w:rFonts w:ascii="Comic Sans MS" w:hAnsi="Comic Sans MS"/>
              </w:rPr>
            </w:pPr>
            <w:r w:rsidRPr="00A05294">
              <w:rPr>
                <w:rFonts w:ascii="Comic Sans MS" w:hAnsi="Comic Sans MS"/>
              </w:rPr>
              <w:t>At Turton and Edgworth, the leadership of Spanish is driven by a clear focus on ensuring high-quality teaching and consistent curriculum delivery across all year groups. The subject leader plays a key role in overseeing planning, assessment, and teaching practices, ensuring they are aligned with whole-school priorities and the needs of learners.</w:t>
            </w:r>
          </w:p>
          <w:p w:rsidR="00A05294" w:rsidRPr="00A05294" w:rsidRDefault="00A05294" w:rsidP="00A05294">
            <w:pPr>
              <w:pStyle w:val="NormalWeb"/>
              <w:rPr>
                <w:rFonts w:ascii="Comic Sans MS" w:hAnsi="Comic Sans MS"/>
              </w:rPr>
            </w:pPr>
            <w:r w:rsidRPr="00A05294">
              <w:rPr>
                <w:rFonts w:ascii="Comic Sans MS" w:hAnsi="Comic Sans MS"/>
              </w:rPr>
              <w:t xml:space="preserve">Regular monitoring is carried out through lesson observations, book </w:t>
            </w:r>
            <w:proofErr w:type="spellStart"/>
            <w:r w:rsidRPr="00A05294">
              <w:rPr>
                <w:rFonts w:ascii="Comic Sans MS" w:hAnsi="Comic Sans MS"/>
              </w:rPr>
              <w:t>scrutinies</w:t>
            </w:r>
            <w:proofErr w:type="spellEnd"/>
            <w:r w:rsidRPr="00A05294">
              <w:rPr>
                <w:rFonts w:ascii="Comic Sans MS" w:hAnsi="Comic Sans MS"/>
              </w:rPr>
              <w:t>, pupil voice, and assessment reviews. These processes enable the subject leader to identify strengths, address areas for development, and provide targeted support, ensuring continuous improvement and the sustained success of Spanish across the school.</w:t>
            </w:r>
          </w:p>
          <w:p w:rsidR="003C4CF0" w:rsidRPr="001C2232" w:rsidRDefault="003C4CF0" w:rsidP="00B849AF">
            <w:pPr>
              <w:rPr>
                <w:rFonts w:ascii="Arial" w:hAnsi="Arial" w:cs="Arial"/>
              </w:rPr>
            </w:pPr>
          </w:p>
        </w:tc>
        <w:tc>
          <w:tcPr>
            <w:tcW w:w="7694" w:type="dxa"/>
            <w:gridSpan w:val="2"/>
            <w:vMerge/>
          </w:tcPr>
          <w:p w:rsidR="003C4CF0" w:rsidRPr="001C2232" w:rsidRDefault="003C4CF0" w:rsidP="003C4CF0">
            <w:pPr>
              <w:rPr>
                <w:rFonts w:ascii="Arial" w:hAnsi="Arial" w:cs="Arial"/>
                <w:b/>
              </w:rPr>
            </w:pPr>
          </w:p>
        </w:tc>
      </w:tr>
      <w:tr w:rsidR="003C4CF0" w:rsidRPr="007C769B" w:rsidTr="00823F3C">
        <w:trPr>
          <w:trHeight w:val="1515"/>
        </w:trPr>
        <w:tc>
          <w:tcPr>
            <w:tcW w:w="7694" w:type="dxa"/>
            <w:vMerge/>
          </w:tcPr>
          <w:p w:rsidR="003C4CF0" w:rsidRPr="001C2232" w:rsidRDefault="003C4CF0">
            <w:pPr>
              <w:rPr>
                <w:rFonts w:ascii="Arial" w:hAnsi="Arial" w:cs="Arial"/>
                <w:b/>
              </w:rPr>
            </w:pPr>
          </w:p>
        </w:tc>
        <w:tc>
          <w:tcPr>
            <w:tcW w:w="7694" w:type="dxa"/>
            <w:gridSpan w:val="2"/>
          </w:tcPr>
          <w:p w:rsidR="003C4CF0" w:rsidRPr="001C2232" w:rsidRDefault="003C4CF0" w:rsidP="003C4CF0">
            <w:pPr>
              <w:rPr>
                <w:rFonts w:ascii="Arial" w:hAnsi="Arial" w:cs="Arial"/>
                <w:b/>
              </w:rPr>
            </w:pPr>
            <w:r w:rsidRPr="001C2232">
              <w:rPr>
                <w:rFonts w:ascii="Arial" w:hAnsi="Arial" w:cs="Arial"/>
                <w:b/>
              </w:rPr>
              <w:t>Pupil voice (including ambassadors)</w:t>
            </w:r>
          </w:p>
          <w:p w:rsidR="007A7277" w:rsidRPr="001C2232" w:rsidRDefault="001300E2" w:rsidP="001300E2">
            <w:pPr>
              <w:rPr>
                <w:rFonts w:ascii="Arial" w:hAnsi="Arial" w:cs="Arial"/>
              </w:rPr>
            </w:pPr>
            <w:r w:rsidRPr="001C2232">
              <w:rPr>
                <w:rFonts w:ascii="Arial" w:hAnsi="Arial" w:cs="Arial"/>
              </w:rPr>
              <w:t xml:space="preserve">Pupils enjoyed learning about Spanish this year, and </w:t>
            </w:r>
            <w:r w:rsidR="00B849AF">
              <w:rPr>
                <w:rFonts w:ascii="Arial" w:hAnsi="Arial" w:cs="Arial"/>
              </w:rPr>
              <w:t>lots of discussions were had with ambassadors with a view to a Super learning day which will; be held year 24/25</w:t>
            </w:r>
          </w:p>
        </w:tc>
      </w:tr>
    </w:tbl>
    <w:p w:rsidR="00823F3C" w:rsidRDefault="00823F3C"/>
    <w:sectPr w:rsidR="00823F3C" w:rsidSect="00823F3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F3C"/>
    <w:rsid w:val="001300E2"/>
    <w:rsid w:val="001C2232"/>
    <w:rsid w:val="00230BE5"/>
    <w:rsid w:val="00366CF8"/>
    <w:rsid w:val="003C4CF0"/>
    <w:rsid w:val="004118D6"/>
    <w:rsid w:val="004A413D"/>
    <w:rsid w:val="004F669C"/>
    <w:rsid w:val="005267CB"/>
    <w:rsid w:val="007675E5"/>
    <w:rsid w:val="007A7277"/>
    <w:rsid w:val="007C769B"/>
    <w:rsid w:val="00823F3C"/>
    <w:rsid w:val="00844001"/>
    <w:rsid w:val="008A737E"/>
    <w:rsid w:val="00986A39"/>
    <w:rsid w:val="009C4513"/>
    <w:rsid w:val="009D1E50"/>
    <w:rsid w:val="00A05294"/>
    <w:rsid w:val="00A83844"/>
    <w:rsid w:val="00B82A4F"/>
    <w:rsid w:val="00B849AF"/>
    <w:rsid w:val="00D064C8"/>
    <w:rsid w:val="00D322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E252F7-870A-4267-8D2C-D4A2B40D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F3C"/>
    <w:pPr>
      <w:ind w:left="720"/>
      <w:contextualSpacing/>
    </w:pPr>
  </w:style>
  <w:style w:type="paragraph" w:styleId="NormalWeb">
    <w:name w:val="Normal (Web)"/>
    <w:basedOn w:val="Normal"/>
    <w:uiPriority w:val="99"/>
    <w:semiHidden/>
    <w:unhideWhenUsed/>
    <w:rsid w:val="00A052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69633">
      <w:bodyDiv w:val="1"/>
      <w:marLeft w:val="0"/>
      <w:marRight w:val="0"/>
      <w:marTop w:val="0"/>
      <w:marBottom w:val="0"/>
      <w:divBdr>
        <w:top w:val="none" w:sz="0" w:space="0" w:color="auto"/>
        <w:left w:val="none" w:sz="0" w:space="0" w:color="auto"/>
        <w:bottom w:val="none" w:sz="0" w:space="0" w:color="auto"/>
        <w:right w:val="none" w:sz="0" w:space="0" w:color="auto"/>
      </w:divBdr>
    </w:div>
    <w:div w:id="501236187">
      <w:bodyDiv w:val="1"/>
      <w:marLeft w:val="0"/>
      <w:marRight w:val="0"/>
      <w:marTop w:val="0"/>
      <w:marBottom w:val="0"/>
      <w:divBdr>
        <w:top w:val="none" w:sz="0" w:space="0" w:color="auto"/>
        <w:left w:val="none" w:sz="0" w:space="0" w:color="auto"/>
        <w:bottom w:val="none" w:sz="0" w:space="0" w:color="auto"/>
        <w:right w:val="none" w:sz="0" w:space="0" w:color="auto"/>
      </w:divBdr>
    </w:div>
    <w:div w:id="16359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6174A-2A6C-43D6-B4A9-409D31B9D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Wheatley</dc:creator>
  <cp:keywords/>
  <dc:description/>
  <cp:lastModifiedBy>Angela Brierley</cp:lastModifiedBy>
  <cp:revision>2</cp:revision>
  <cp:lastPrinted>2023-05-26T10:58:00Z</cp:lastPrinted>
  <dcterms:created xsi:type="dcterms:W3CDTF">2025-07-14T11:29:00Z</dcterms:created>
  <dcterms:modified xsi:type="dcterms:W3CDTF">2025-07-14T11:29:00Z</dcterms:modified>
</cp:coreProperties>
</file>